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DA" w:rsidRPr="008135B4" w:rsidRDefault="00FC6325" w:rsidP="008135B4">
      <w:pPr>
        <w:jc w:val="center"/>
        <w:rPr>
          <w:rFonts w:ascii="CIDFont+F1" w:hAnsi="CIDFont+F1" w:cs="CIDFont+F1"/>
          <w:b/>
          <w:sz w:val="24"/>
          <w:szCs w:val="24"/>
        </w:rPr>
      </w:pPr>
      <w:r>
        <w:rPr>
          <w:rFonts w:ascii="CIDFont+F1" w:hAnsi="CIDFont+F1" w:cs="CIDFont+F1"/>
          <w:b/>
          <w:sz w:val="24"/>
          <w:szCs w:val="24"/>
        </w:rPr>
        <w:t xml:space="preserve">Wellness </w:t>
      </w:r>
      <w:r w:rsidR="00413CDA" w:rsidRPr="008135B4">
        <w:rPr>
          <w:rFonts w:ascii="CIDFont+F1" w:hAnsi="CIDFont+F1" w:cs="CIDFont+F1"/>
          <w:b/>
          <w:sz w:val="24"/>
          <w:szCs w:val="24"/>
        </w:rPr>
        <w:t>Model Policy Activity</w:t>
      </w:r>
    </w:p>
    <w:p w:rsidR="00413CDA" w:rsidRDefault="00413CDA">
      <w:pPr>
        <w:rPr>
          <w:rFonts w:ascii="CIDFont+F1" w:hAnsi="CIDFont+F1" w:cs="CIDFont+F1"/>
          <w:sz w:val="24"/>
          <w:szCs w:val="24"/>
        </w:rPr>
      </w:pPr>
    </w:p>
    <w:p w:rsidR="008135B4" w:rsidRDefault="008135B4">
      <w:pPr>
        <w:rPr>
          <w:rFonts w:ascii="CIDFont+F1" w:hAnsi="CIDFont+F1" w:cs="CIDFont+F1"/>
          <w:sz w:val="24"/>
          <w:szCs w:val="24"/>
        </w:rPr>
      </w:pPr>
      <w:r>
        <w:rPr>
          <w:rFonts w:ascii="CIDFont+F1" w:hAnsi="CIDFont+F1" w:cs="CIDFont+F1"/>
          <w:sz w:val="24"/>
          <w:szCs w:val="24"/>
        </w:rPr>
        <w:t xml:space="preserve">In this </w:t>
      </w:r>
      <w:r w:rsidR="00FC6325">
        <w:rPr>
          <w:rFonts w:ascii="CIDFont+F1" w:hAnsi="CIDFont+F1" w:cs="CIDFont+F1"/>
          <w:sz w:val="24"/>
          <w:szCs w:val="24"/>
        </w:rPr>
        <w:t>handout</w:t>
      </w:r>
      <w:r>
        <w:rPr>
          <w:rFonts w:ascii="CIDFont+F1" w:hAnsi="CIDFont+F1" w:cs="CIDFont+F1"/>
          <w:sz w:val="24"/>
          <w:szCs w:val="24"/>
        </w:rPr>
        <w:t xml:space="preserve"> are excerpts from model </w:t>
      </w:r>
      <w:r w:rsidR="00FC6325">
        <w:rPr>
          <w:rFonts w:ascii="CIDFont+F1" w:hAnsi="CIDFont+F1" w:cs="CIDFont+F1"/>
          <w:sz w:val="24"/>
          <w:szCs w:val="24"/>
        </w:rPr>
        <w:t xml:space="preserve">wellness </w:t>
      </w:r>
      <w:bookmarkStart w:id="0" w:name="_GoBack"/>
      <w:bookmarkEnd w:id="0"/>
      <w:r>
        <w:rPr>
          <w:rFonts w:ascii="CIDFont+F1" w:hAnsi="CIDFont+F1" w:cs="CIDFont+F1"/>
          <w:sz w:val="24"/>
          <w:szCs w:val="24"/>
        </w:rPr>
        <w:t>policies for the section on competitive foods and beverages. For this activity, compare the model policies to one another.</w:t>
      </w:r>
    </w:p>
    <w:p w:rsidR="008135B4" w:rsidRDefault="008135B4">
      <w:pPr>
        <w:rPr>
          <w:rFonts w:ascii="CIDFont+F1" w:hAnsi="CIDFont+F1" w:cs="CIDFont+F1"/>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135B4" w:rsidTr="008135B4">
        <w:tc>
          <w:tcPr>
            <w:tcW w:w="1870" w:type="dxa"/>
          </w:tcPr>
          <w:p w:rsidR="008135B4" w:rsidRPr="008135B4" w:rsidRDefault="008135B4">
            <w:pPr>
              <w:rPr>
                <w:rFonts w:ascii="CIDFont+F1" w:hAnsi="CIDFont+F1" w:cs="CIDFont+F1"/>
                <w:b/>
                <w:sz w:val="24"/>
                <w:szCs w:val="24"/>
              </w:rPr>
            </w:pPr>
            <w:r w:rsidRPr="008135B4">
              <w:rPr>
                <w:rFonts w:ascii="CIDFont+F1" w:hAnsi="CIDFont+F1" w:cs="CIDFont+F1"/>
                <w:b/>
                <w:sz w:val="24"/>
                <w:szCs w:val="24"/>
              </w:rPr>
              <w:t>Policy</w:t>
            </w:r>
          </w:p>
        </w:tc>
        <w:tc>
          <w:tcPr>
            <w:tcW w:w="1870" w:type="dxa"/>
          </w:tcPr>
          <w:p w:rsidR="008135B4" w:rsidRPr="008135B4" w:rsidRDefault="008135B4">
            <w:pPr>
              <w:rPr>
                <w:rFonts w:ascii="CIDFont+F1" w:hAnsi="CIDFont+F1" w:cs="CIDFont+F1"/>
                <w:b/>
                <w:sz w:val="24"/>
                <w:szCs w:val="24"/>
              </w:rPr>
            </w:pPr>
            <w:r w:rsidRPr="008135B4">
              <w:rPr>
                <w:rFonts w:ascii="CIDFont+F1" w:hAnsi="CIDFont+F1" w:cs="CIDFont+F1"/>
                <w:b/>
                <w:sz w:val="24"/>
                <w:szCs w:val="24"/>
              </w:rPr>
              <w:t>Foods Sold</w:t>
            </w:r>
          </w:p>
        </w:tc>
        <w:tc>
          <w:tcPr>
            <w:tcW w:w="1870" w:type="dxa"/>
          </w:tcPr>
          <w:p w:rsidR="008135B4" w:rsidRPr="008135B4" w:rsidRDefault="008135B4">
            <w:pPr>
              <w:rPr>
                <w:rFonts w:ascii="CIDFont+F1" w:hAnsi="CIDFont+F1" w:cs="CIDFont+F1"/>
                <w:b/>
                <w:sz w:val="24"/>
                <w:szCs w:val="24"/>
              </w:rPr>
            </w:pPr>
            <w:r w:rsidRPr="008135B4">
              <w:rPr>
                <w:rFonts w:ascii="CIDFont+F1" w:hAnsi="CIDFont+F1" w:cs="CIDFont+F1"/>
                <w:b/>
                <w:sz w:val="24"/>
                <w:szCs w:val="24"/>
              </w:rPr>
              <w:t>Celebrations</w:t>
            </w:r>
          </w:p>
        </w:tc>
        <w:tc>
          <w:tcPr>
            <w:tcW w:w="1870" w:type="dxa"/>
          </w:tcPr>
          <w:p w:rsidR="008135B4" w:rsidRPr="008135B4" w:rsidRDefault="008135B4">
            <w:pPr>
              <w:rPr>
                <w:rFonts w:ascii="CIDFont+F1" w:hAnsi="CIDFont+F1" w:cs="CIDFont+F1"/>
                <w:b/>
                <w:sz w:val="24"/>
                <w:szCs w:val="24"/>
              </w:rPr>
            </w:pPr>
            <w:r w:rsidRPr="008135B4">
              <w:rPr>
                <w:rFonts w:ascii="CIDFont+F1" w:hAnsi="CIDFont+F1" w:cs="CIDFont+F1"/>
                <w:b/>
                <w:sz w:val="24"/>
                <w:szCs w:val="24"/>
              </w:rPr>
              <w:t>Rewards</w:t>
            </w:r>
          </w:p>
        </w:tc>
        <w:tc>
          <w:tcPr>
            <w:tcW w:w="1870" w:type="dxa"/>
          </w:tcPr>
          <w:p w:rsidR="008135B4" w:rsidRPr="008135B4" w:rsidRDefault="008135B4">
            <w:pPr>
              <w:rPr>
                <w:rFonts w:ascii="CIDFont+F1" w:hAnsi="CIDFont+F1" w:cs="CIDFont+F1"/>
                <w:b/>
                <w:sz w:val="24"/>
                <w:szCs w:val="24"/>
              </w:rPr>
            </w:pPr>
            <w:r w:rsidRPr="008135B4">
              <w:rPr>
                <w:rFonts w:ascii="CIDFont+F1" w:hAnsi="CIDFont+F1" w:cs="CIDFont+F1"/>
                <w:b/>
                <w:sz w:val="24"/>
                <w:szCs w:val="24"/>
              </w:rPr>
              <w:t>Fundraising</w:t>
            </w:r>
          </w:p>
        </w:tc>
      </w:tr>
      <w:tr w:rsidR="008135B4" w:rsidTr="008135B4">
        <w:tc>
          <w:tcPr>
            <w:tcW w:w="1870" w:type="dxa"/>
          </w:tcPr>
          <w:p w:rsidR="008135B4" w:rsidRDefault="008135B4">
            <w:pPr>
              <w:rPr>
                <w:rFonts w:ascii="CIDFont+F1" w:hAnsi="CIDFont+F1" w:cs="CIDFont+F1"/>
                <w:sz w:val="24"/>
                <w:szCs w:val="24"/>
              </w:rPr>
            </w:pPr>
            <w:r>
              <w:rPr>
                <w:rFonts w:ascii="CIDFont+F1" w:hAnsi="CIDFont+F1" w:cs="CIDFont+F1"/>
                <w:sz w:val="24"/>
                <w:szCs w:val="24"/>
              </w:rPr>
              <w:t>CSBA</w:t>
            </w: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r>
      <w:tr w:rsidR="008135B4" w:rsidTr="008135B4">
        <w:tc>
          <w:tcPr>
            <w:tcW w:w="1870" w:type="dxa"/>
          </w:tcPr>
          <w:p w:rsidR="008135B4" w:rsidRDefault="008135B4">
            <w:pPr>
              <w:rPr>
                <w:rFonts w:ascii="CIDFont+F1" w:hAnsi="CIDFont+F1" w:cs="CIDFont+F1"/>
                <w:sz w:val="24"/>
                <w:szCs w:val="24"/>
              </w:rPr>
            </w:pPr>
            <w:r>
              <w:rPr>
                <w:rFonts w:ascii="CIDFont+F1" w:hAnsi="CIDFont+F1" w:cs="CIDFont+F1"/>
                <w:sz w:val="24"/>
                <w:szCs w:val="24"/>
              </w:rPr>
              <w:t>Alliance for a Healthier Generation</w:t>
            </w: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c>
          <w:tcPr>
            <w:tcW w:w="1870" w:type="dxa"/>
          </w:tcPr>
          <w:p w:rsidR="008135B4" w:rsidRDefault="008135B4">
            <w:pPr>
              <w:rPr>
                <w:rFonts w:ascii="CIDFont+F1" w:hAnsi="CIDFont+F1" w:cs="CIDFont+F1"/>
                <w:sz w:val="24"/>
                <w:szCs w:val="24"/>
              </w:rPr>
            </w:pPr>
          </w:p>
        </w:tc>
      </w:tr>
    </w:tbl>
    <w:p w:rsidR="00FC6325" w:rsidRDefault="00FC6325">
      <w:pPr>
        <w:rPr>
          <w:rFonts w:ascii="CIDFont+F1" w:hAnsi="CIDFont+F1" w:cs="CIDFont+F1"/>
          <w:sz w:val="24"/>
          <w:szCs w:val="24"/>
        </w:rPr>
      </w:pPr>
    </w:p>
    <w:p w:rsidR="00FC6325" w:rsidRDefault="00FC6325">
      <w:pPr>
        <w:rPr>
          <w:rFonts w:ascii="CIDFont+F1" w:hAnsi="CIDFont+F1" w:cs="CIDFont+F1"/>
          <w:sz w:val="24"/>
          <w:szCs w:val="24"/>
        </w:rPr>
      </w:pPr>
      <w:r>
        <w:rPr>
          <w:rFonts w:ascii="CIDFont+F1" w:hAnsi="CIDFont+F1" w:cs="CIDFont+F1"/>
          <w:sz w:val="24"/>
          <w:szCs w:val="24"/>
        </w:rPr>
        <w:br w:type="page"/>
      </w:r>
    </w:p>
    <w:p w:rsidR="00413CDA" w:rsidRDefault="00FC6325">
      <w:pPr>
        <w:rPr>
          <w:rFonts w:ascii="CIDFont+F1" w:hAnsi="CIDFont+F1" w:cs="CIDFont+F1"/>
          <w:sz w:val="24"/>
          <w:szCs w:val="24"/>
        </w:rPr>
      </w:pPr>
      <w:r>
        <w:rPr>
          <w:rFonts w:ascii="CIDFont+F1" w:hAnsi="CIDFont+F1" w:cs="CIDFont+F1"/>
          <w:sz w:val="24"/>
          <w:szCs w:val="24"/>
        </w:rPr>
        <w:lastRenderedPageBreak/>
        <w:t>This page left blank for reproduction purposes.</w:t>
      </w:r>
      <w:r w:rsidR="00413CDA">
        <w:rPr>
          <w:rFonts w:ascii="CIDFont+F1" w:hAnsi="CIDFont+F1" w:cs="CIDFont+F1"/>
          <w:sz w:val="24"/>
          <w:szCs w:val="24"/>
        </w:rPr>
        <w:br w:type="page"/>
      </w:r>
    </w:p>
    <w:p w:rsidR="002B6A7D" w:rsidRDefault="002B6A7D" w:rsidP="002B6A7D">
      <w:pPr>
        <w:autoSpaceDE w:val="0"/>
        <w:autoSpaceDN w:val="0"/>
        <w:adjustRightInd w:val="0"/>
        <w:rPr>
          <w:rFonts w:ascii="CIDFont+F1" w:hAnsi="CIDFont+F1" w:cs="CIDFont+F1"/>
          <w:sz w:val="24"/>
          <w:szCs w:val="24"/>
        </w:rPr>
      </w:pPr>
      <w:r>
        <w:rPr>
          <w:rFonts w:ascii="CIDFont+F1" w:hAnsi="CIDFont+F1" w:cs="CIDFont+F1"/>
          <w:sz w:val="24"/>
          <w:szCs w:val="24"/>
        </w:rPr>
        <w:lastRenderedPageBreak/>
        <w:t>CSBA Sample Board Policy | BP 5030 Students</w:t>
      </w:r>
    </w:p>
    <w:p w:rsidR="00C17D81" w:rsidRDefault="002B6A7D" w:rsidP="002B6A7D">
      <w:pPr>
        <w:rPr>
          <w:rFonts w:ascii="CIDFont+F2" w:hAnsi="CIDFont+F2" w:cs="CIDFont+F2"/>
          <w:sz w:val="24"/>
          <w:szCs w:val="24"/>
        </w:rPr>
      </w:pPr>
      <w:r>
        <w:rPr>
          <w:rFonts w:ascii="CIDFont+F2" w:hAnsi="CIDFont+F2" w:cs="CIDFont+F2"/>
          <w:sz w:val="24"/>
          <w:szCs w:val="24"/>
        </w:rPr>
        <w:t>Student Wellness</w:t>
      </w:r>
    </w:p>
    <w:p w:rsidR="002B6A7D" w:rsidRDefault="002B6A7D" w:rsidP="002B6A7D">
      <w:pPr>
        <w:rPr>
          <w:rFonts w:ascii="CIDFont+F2" w:hAnsi="CIDFont+F2" w:cs="CIDFont+F2"/>
          <w:sz w:val="24"/>
          <w:szCs w:val="24"/>
        </w:rPr>
      </w:pPr>
    </w:p>
    <w:p w:rsidR="002B6A7D" w:rsidRDefault="002B6A7D" w:rsidP="002B6A7D">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Nutrition Guidelines for All Foods Available at School</w:t>
      </w:r>
    </w:p>
    <w:p w:rsidR="008135B4" w:rsidRDefault="008135B4" w:rsidP="002B6A7D">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(Competitive Foods and Beverages excerpt)</w:t>
      </w:r>
    </w:p>
    <w:p w:rsidR="002B6A7D" w:rsidRDefault="002B6A7D" w:rsidP="002B6A7D">
      <w:pPr>
        <w:autoSpaceDE w:val="0"/>
        <w:autoSpaceDN w:val="0"/>
        <w:adjustRightInd w:val="0"/>
        <w:rPr>
          <w:rFonts w:ascii="CIDFont+F1" w:hAnsi="CIDFont+F1" w:cs="CIDFont+F1"/>
          <w:color w:val="0070C1"/>
          <w:sz w:val="24"/>
          <w:szCs w:val="24"/>
        </w:rPr>
      </w:pPr>
    </w:p>
    <w:p w:rsidR="002B6A7D" w:rsidRDefault="002B6A7D" w:rsidP="002B6A7D">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For all foods and beverages available on each campus during the school day, the district shall adopt nutrition guidelines which are consistent with 42 USC 1758, 1766, 1773, and 1779 and federal regulations and which support the objectives of promoting student health and reducing childhood obesity. (42 USC 1758b)</w:t>
      </w:r>
    </w:p>
    <w:p w:rsidR="002B6A7D" w:rsidRDefault="002B6A7D" w:rsidP="002B6A7D">
      <w:pPr>
        <w:autoSpaceDE w:val="0"/>
        <w:autoSpaceDN w:val="0"/>
        <w:adjustRightInd w:val="0"/>
        <w:rPr>
          <w:rFonts w:ascii="CIDFont+F1" w:hAnsi="CIDFont+F1" w:cs="CIDFont+F1"/>
          <w:color w:val="0070C1"/>
          <w:sz w:val="24"/>
          <w:szCs w:val="24"/>
        </w:rPr>
      </w:pPr>
    </w:p>
    <w:p w:rsidR="002B6A7D" w:rsidRDefault="002B6A7D" w:rsidP="002B6A7D">
      <w:pPr>
        <w:autoSpaceDE w:val="0"/>
        <w:autoSpaceDN w:val="0"/>
        <w:adjustRightInd w:val="0"/>
        <w:rPr>
          <w:rFonts w:ascii="CIDFont+F1" w:hAnsi="CIDFont+F1" w:cs="CIDFont+F1"/>
          <w:color w:val="0070C1"/>
          <w:sz w:val="24"/>
          <w:szCs w:val="24"/>
        </w:rPr>
      </w:pPr>
      <w:r>
        <w:rPr>
          <w:rFonts w:ascii="CIDFont+F1" w:hAnsi="CIDFont+F1" w:cs="CIDFont+F1"/>
          <w:color w:val="0070C1"/>
          <w:sz w:val="24"/>
          <w:szCs w:val="24"/>
        </w:rPr>
        <w:t>Note: The remainder of this section provides policy language to address this mandated topic and should be revised to reflect district practice.</w:t>
      </w:r>
    </w:p>
    <w:p w:rsidR="002B6A7D" w:rsidRDefault="002B6A7D" w:rsidP="002B6A7D">
      <w:pPr>
        <w:autoSpaceDE w:val="0"/>
        <w:autoSpaceDN w:val="0"/>
        <w:adjustRightInd w:val="0"/>
        <w:rPr>
          <w:rFonts w:ascii="CIDFont+F1" w:hAnsi="CIDFont+F1" w:cs="CIDFont+F1"/>
          <w:color w:val="0070C1"/>
          <w:sz w:val="24"/>
          <w:szCs w:val="24"/>
        </w:rPr>
      </w:pPr>
      <w:r>
        <w:rPr>
          <w:rFonts w:ascii="CIDFont+F1" w:hAnsi="CIDFont+F1" w:cs="CIDFont+F1"/>
          <w:color w:val="0070C1"/>
          <w:sz w:val="24"/>
          <w:szCs w:val="24"/>
        </w:rPr>
        <w:t>.</w:t>
      </w:r>
    </w:p>
    <w:p w:rsidR="002B6A7D" w:rsidRDefault="002B6A7D" w:rsidP="002B6A7D">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The Board believes that all foods and beverages sold to students at district schools, including those available outside the district's reimbursable food services program, should support the health curriculum and promote optimal health. Nutrition standards adopted by the district for foods and beverages provided through student stores, vending machines, or other venues shall meet or exceed state and federal nutrition standards.</w:t>
      </w:r>
    </w:p>
    <w:p w:rsidR="002B6A7D" w:rsidRDefault="002B6A7D" w:rsidP="002B6A7D">
      <w:pPr>
        <w:autoSpaceDE w:val="0"/>
        <w:autoSpaceDN w:val="0"/>
        <w:adjustRightInd w:val="0"/>
        <w:rPr>
          <w:rFonts w:ascii="CIDFont+F1" w:hAnsi="CIDFont+F1" w:cs="CIDFont+F1"/>
          <w:color w:val="000000"/>
          <w:sz w:val="24"/>
          <w:szCs w:val="24"/>
        </w:rPr>
      </w:pPr>
    </w:p>
    <w:p w:rsidR="002B6A7D" w:rsidRDefault="002B6A7D" w:rsidP="002B6A7D">
      <w:pPr>
        <w:autoSpaceDE w:val="0"/>
        <w:autoSpaceDN w:val="0"/>
        <w:adjustRightInd w:val="0"/>
        <w:rPr>
          <w:rFonts w:ascii="CIDFont+F1" w:hAnsi="CIDFont+F1" w:cs="CIDFont+F1"/>
          <w:color w:val="000000"/>
          <w:sz w:val="24"/>
          <w:szCs w:val="24"/>
        </w:rPr>
      </w:pPr>
      <w:r>
        <w:rPr>
          <w:rFonts w:ascii="CIDFont+F1" w:hAnsi="CIDFont+F1" w:cs="CIDFont+F1"/>
          <w:color w:val="000000"/>
          <w:sz w:val="24"/>
          <w:szCs w:val="24"/>
        </w:rPr>
        <w:t>The Superintendent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 School staff shall encourage parents/guardians or other volunteers to support the district's nutrition education program by considering nutritional quality when selecting any snacks which</w:t>
      </w:r>
      <w:r w:rsidR="008135B4">
        <w:rPr>
          <w:rFonts w:ascii="CIDFont+F1" w:hAnsi="CIDFont+F1" w:cs="CIDFont+F1"/>
          <w:color w:val="000000"/>
          <w:sz w:val="24"/>
          <w:szCs w:val="24"/>
        </w:rPr>
        <w:t xml:space="preserve"> </w:t>
      </w:r>
      <w:r>
        <w:rPr>
          <w:rFonts w:ascii="CIDFont+F1" w:hAnsi="CIDFont+F1" w:cs="CIDFont+F1"/>
          <w:color w:val="000000"/>
          <w:sz w:val="24"/>
          <w:szCs w:val="24"/>
        </w:rPr>
        <w:t>they may donate for occasional class parties. Class parties or celebrations shall be held after the lunch period when possible.</w:t>
      </w:r>
    </w:p>
    <w:p w:rsidR="002B6A7D" w:rsidRDefault="002B6A7D">
      <w:pPr>
        <w:rPr>
          <w:rFonts w:ascii="CIDFont+F1" w:hAnsi="CIDFont+F1" w:cs="CIDFont+F1"/>
          <w:color w:val="000000"/>
          <w:sz w:val="24"/>
          <w:szCs w:val="24"/>
        </w:rPr>
      </w:pPr>
      <w:r>
        <w:rPr>
          <w:rFonts w:ascii="CIDFont+F1" w:hAnsi="CIDFont+F1" w:cs="CIDFont+F1"/>
          <w:color w:val="000000"/>
          <w:sz w:val="24"/>
          <w:szCs w:val="24"/>
        </w:rPr>
        <w:br w:type="page"/>
      </w:r>
    </w:p>
    <w:p w:rsidR="002B6A7D" w:rsidRPr="00A63CAC" w:rsidRDefault="002B6A7D" w:rsidP="002B6A7D">
      <w:pPr>
        <w:pStyle w:val="Header"/>
        <w:tabs>
          <w:tab w:val="clear" w:pos="4680"/>
          <w:tab w:val="clear" w:pos="9360"/>
        </w:tabs>
        <w:jc w:val="center"/>
        <w:rPr>
          <w:b/>
          <w:caps/>
          <w:color w:val="FFFFFF"/>
        </w:rPr>
      </w:pPr>
      <w:r w:rsidRPr="00A63CAC">
        <w:rPr>
          <w:b/>
          <w:caps/>
          <w:color w:val="FFFFFF"/>
        </w:rPr>
        <w:lastRenderedPageBreak/>
        <w:t>ce for a Healthier generation model wellness policy</w:t>
      </w:r>
    </w:p>
    <w:p w:rsidR="002B6A7D" w:rsidRDefault="002B6A7D" w:rsidP="002B6A7D">
      <w:pPr>
        <w:autoSpaceDE w:val="0"/>
        <w:autoSpaceDN w:val="0"/>
        <w:adjustRightInd w:val="0"/>
        <w:rPr>
          <w:rFonts w:ascii="CIDFont+F1" w:hAnsi="CIDFont+F1" w:cs="CIDFont+F1"/>
          <w:color w:val="000000"/>
          <w:sz w:val="24"/>
          <w:szCs w:val="24"/>
        </w:rPr>
      </w:pPr>
      <w:r w:rsidRPr="002B6A7D">
        <w:rPr>
          <w:rFonts w:ascii="CIDFont+F1" w:hAnsi="CIDFont+F1" w:cs="CIDFont+F1"/>
          <w:color w:val="000000"/>
          <w:sz w:val="24"/>
          <w:szCs w:val="24"/>
        </w:rPr>
        <w:t>ALLIANCE FOR A HEALTHIER GENERATION MODEL WELLNESS POLICY</w:t>
      </w:r>
    </w:p>
    <w:p w:rsidR="008135B4" w:rsidRPr="008135B4" w:rsidRDefault="008135B4" w:rsidP="002B6A7D">
      <w:pPr>
        <w:autoSpaceDE w:val="0"/>
        <w:autoSpaceDN w:val="0"/>
        <w:adjustRightInd w:val="0"/>
        <w:rPr>
          <w:rFonts w:ascii="CIDFont+F1" w:hAnsi="CIDFont+F1" w:cs="CIDFont+F1"/>
          <w:color w:val="000000"/>
        </w:rPr>
      </w:pPr>
      <w:r w:rsidRPr="008135B4">
        <w:rPr>
          <w:rFonts w:ascii="CIDFont+F1" w:hAnsi="CIDFont+F1" w:cs="CIDFont+F1"/>
          <w:color w:val="000000"/>
        </w:rPr>
        <w:t>Excerpt</w:t>
      </w:r>
    </w:p>
    <w:p w:rsidR="002B6A7D" w:rsidRDefault="002B6A7D" w:rsidP="002B6A7D">
      <w:pPr>
        <w:autoSpaceDE w:val="0"/>
        <w:autoSpaceDN w:val="0"/>
        <w:adjustRightInd w:val="0"/>
        <w:rPr>
          <w:rFonts w:ascii="CIDFont+F1" w:hAnsi="CIDFont+F1" w:cs="CIDFont+F1"/>
          <w:color w:val="000000"/>
          <w:sz w:val="24"/>
          <w:szCs w:val="24"/>
        </w:rPr>
      </w:pPr>
    </w:p>
    <w:p w:rsidR="002B6A7D" w:rsidRPr="006A7FA5" w:rsidRDefault="002B6A7D" w:rsidP="002B6A7D">
      <w:pPr>
        <w:rPr>
          <w:rFonts w:ascii="Arial" w:hAnsi="Arial" w:cs="Arial"/>
          <w:b/>
          <w:i/>
          <w:sz w:val="20"/>
          <w:szCs w:val="20"/>
        </w:rPr>
      </w:pPr>
      <w:r w:rsidRPr="006A7FA5">
        <w:rPr>
          <w:rFonts w:ascii="Arial" w:hAnsi="Arial" w:cs="Arial"/>
          <w:b/>
          <w:i/>
          <w:sz w:val="20"/>
          <w:szCs w:val="20"/>
        </w:rPr>
        <w:t>Competitive Foods and Beverages</w:t>
      </w:r>
    </w:p>
    <w:p w:rsidR="002B6A7D" w:rsidRDefault="002B6A7D" w:rsidP="002B6A7D">
      <w:pPr>
        <w:rPr>
          <w:rFonts w:ascii="Arial" w:hAnsi="Arial" w:cs="Arial"/>
          <w:sz w:val="20"/>
          <w:szCs w:val="20"/>
        </w:rPr>
      </w:pPr>
      <w:r w:rsidRPr="006A7FA5">
        <w:rPr>
          <w:rFonts w:ascii="Arial" w:hAnsi="Arial" w:cs="Arial"/>
          <w:sz w:val="20"/>
          <w:szCs w:val="20"/>
        </w:rPr>
        <w:t>The District is committed to ensuring that all foods and beverages available to students on the school campus* during the school day* support healthy eating. The foods and beverages sold and served outside of the school meal programs (e.</w:t>
      </w:r>
      <w:r>
        <w:rPr>
          <w:rFonts w:ascii="Arial" w:hAnsi="Arial" w:cs="Arial"/>
          <w:sz w:val="20"/>
          <w:szCs w:val="20"/>
        </w:rPr>
        <w:t>g.</w:t>
      </w:r>
      <w:r w:rsidRPr="006A7FA5">
        <w:rPr>
          <w:rFonts w:ascii="Arial" w:hAnsi="Arial" w:cs="Arial"/>
          <w:sz w:val="20"/>
          <w:szCs w:val="20"/>
        </w:rPr>
        <w:t>,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w:t>
      </w:r>
      <w:r>
        <w:rPr>
          <w:rFonts w:ascii="Arial" w:hAnsi="Arial" w:cs="Arial"/>
          <w:sz w:val="20"/>
          <w:szCs w:val="20"/>
        </w:rPr>
        <w:t>, as well as a Guide to Smart Snacks in Schools</w:t>
      </w:r>
      <w:r w:rsidRPr="006A7FA5">
        <w:rPr>
          <w:rFonts w:ascii="Arial" w:hAnsi="Arial" w:cs="Arial"/>
          <w:sz w:val="20"/>
          <w:szCs w:val="20"/>
        </w:rPr>
        <w:t xml:space="preserve"> are available at: </w:t>
      </w:r>
      <w:hyperlink r:id="rId5" w:history="1">
        <w:r w:rsidRPr="006A7FA5">
          <w:rPr>
            <w:rStyle w:val="Hyperlink"/>
            <w:rFonts w:ascii="Arial" w:hAnsi="Arial" w:cs="Arial"/>
            <w:sz w:val="20"/>
            <w:szCs w:val="20"/>
          </w:rPr>
          <w:t>http://www.fns.usd</w:t>
        </w:r>
        <w:bookmarkStart w:id="1" w:name="_Hlt458589272"/>
        <w:r w:rsidRPr="006A7FA5">
          <w:rPr>
            <w:rStyle w:val="Hyperlink"/>
            <w:rFonts w:ascii="Arial" w:hAnsi="Arial" w:cs="Arial"/>
            <w:sz w:val="20"/>
            <w:szCs w:val="20"/>
          </w:rPr>
          <w:t>a</w:t>
        </w:r>
        <w:bookmarkEnd w:id="1"/>
        <w:r w:rsidRPr="006A7FA5">
          <w:rPr>
            <w:rStyle w:val="Hyperlink"/>
            <w:rFonts w:ascii="Arial" w:hAnsi="Arial" w:cs="Arial"/>
            <w:sz w:val="20"/>
            <w:szCs w:val="20"/>
          </w:rPr>
          <w:t>.gov/healthierschoold</w:t>
        </w:r>
        <w:bookmarkStart w:id="2" w:name="_Hlt459211787"/>
        <w:r w:rsidRPr="006A7FA5">
          <w:rPr>
            <w:rStyle w:val="Hyperlink"/>
            <w:rFonts w:ascii="Arial" w:hAnsi="Arial" w:cs="Arial"/>
            <w:sz w:val="20"/>
            <w:szCs w:val="20"/>
          </w:rPr>
          <w:t>a</w:t>
        </w:r>
        <w:bookmarkEnd w:id="2"/>
        <w:r w:rsidRPr="006A7FA5">
          <w:rPr>
            <w:rStyle w:val="Hyperlink"/>
            <w:rFonts w:ascii="Arial" w:hAnsi="Arial" w:cs="Arial"/>
            <w:sz w:val="20"/>
            <w:szCs w:val="20"/>
          </w:rPr>
          <w:t>y/tools-schools-smart-snacks</w:t>
        </w:r>
      </w:hyperlink>
      <w:r w:rsidRPr="006A7FA5">
        <w:rPr>
          <w:rStyle w:val="Hyperlink"/>
          <w:rFonts w:ascii="Arial" w:hAnsi="Arial" w:cs="Arial"/>
          <w:sz w:val="20"/>
          <w:szCs w:val="20"/>
        </w:rPr>
        <w:t xml:space="preserve">. </w:t>
      </w:r>
      <w:r w:rsidRPr="00BC3294">
        <w:rPr>
          <w:rStyle w:val="Hyperlink"/>
          <w:rFonts w:ascii="Arial" w:hAnsi="Arial" w:cs="Arial"/>
          <w:color w:val="000000"/>
          <w:sz w:val="20"/>
          <w:szCs w:val="20"/>
        </w:rPr>
        <w:t xml:space="preserve">The Alliance for a Healthier Generation provides a set of tools to assist with implementation of Smart Snacks available at </w:t>
      </w:r>
      <w:hyperlink r:id="rId6" w:history="1">
        <w:r w:rsidRPr="003177BB">
          <w:rPr>
            <w:rStyle w:val="Hyperlink"/>
            <w:rFonts w:ascii="Arial" w:hAnsi="Arial" w:cs="Arial"/>
            <w:sz w:val="20"/>
            <w:szCs w:val="20"/>
          </w:rPr>
          <w:t>www.foodplanner.healthiergeneration.org</w:t>
        </w:r>
      </w:hyperlink>
      <w:r>
        <w:rPr>
          <w:rStyle w:val="Hyperlink"/>
          <w:rFonts w:ascii="Arial" w:hAnsi="Arial" w:cs="Arial"/>
          <w:sz w:val="20"/>
          <w:szCs w:val="20"/>
        </w:rPr>
        <w:t>.</w:t>
      </w:r>
    </w:p>
    <w:p w:rsidR="002B6A7D" w:rsidRDefault="002B6A7D" w:rsidP="002B6A7D">
      <w:pPr>
        <w:rPr>
          <w:rFonts w:ascii="Arial" w:hAnsi="Arial" w:cs="Arial"/>
          <w:i/>
          <w:sz w:val="20"/>
          <w:szCs w:val="20"/>
        </w:rPr>
      </w:pPr>
    </w:p>
    <w:p w:rsidR="002B6A7D" w:rsidRPr="006A7FA5" w:rsidRDefault="002B6A7D" w:rsidP="002B6A7D">
      <w:pPr>
        <w:rPr>
          <w:rFonts w:ascii="Arial" w:hAnsi="Arial" w:cs="Arial"/>
          <w:i/>
          <w:sz w:val="20"/>
          <w:szCs w:val="20"/>
        </w:rPr>
      </w:pPr>
      <w:r w:rsidRPr="006A7FA5">
        <w:rPr>
          <w:rFonts w:ascii="Arial" w:hAnsi="Arial" w:cs="Arial"/>
          <w:i/>
          <w:sz w:val="20"/>
          <w:szCs w:val="20"/>
        </w:rPr>
        <w:t xml:space="preserve"> [NOTE: In some cases, states have passed more stringent nutrition standards for competitive foods and beverages in addition to the USDA Smart Snacks in School nutrition standards. In these states, districts and schools must also comply with their state standards.]</w:t>
      </w:r>
    </w:p>
    <w:p w:rsidR="002B6A7D" w:rsidRDefault="002B6A7D" w:rsidP="002B6A7D">
      <w:pPr>
        <w:rPr>
          <w:rFonts w:ascii="Arial" w:hAnsi="Arial" w:cs="Arial"/>
          <w:sz w:val="20"/>
          <w:szCs w:val="20"/>
        </w:rPr>
      </w:pPr>
    </w:p>
    <w:p w:rsidR="002B6A7D" w:rsidRPr="006A7FA5" w:rsidRDefault="002B6A7D" w:rsidP="002B6A7D">
      <w:pPr>
        <w:rPr>
          <w:rFonts w:ascii="Arial" w:hAnsi="Arial" w:cs="Arial"/>
          <w:sz w:val="20"/>
          <w:szCs w:val="20"/>
        </w:rPr>
      </w:pPr>
      <w:r w:rsidRPr="006A7FA5">
        <w:rPr>
          <w:rFonts w:ascii="Arial" w:hAnsi="Arial" w:cs="Arial"/>
          <w:sz w:val="20"/>
          <w:szCs w:val="20"/>
        </w:rPr>
        <w:t xml:space="preserve">To support healthy food choices and improve student health and well-being, all foods and beverages outside the reimbursable school meal programs that are </w:t>
      </w:r>
      <w:r w:rsidRPr="006A7FA5">
        <w:rPr>
          <w:rFonts w:ascii="Arial" w:hAnsi="Arial" w:cs="Arial"/>
          <w:sz w:val="20"/>
          <w:szCs w:val="20"/>
          <w:u w:val="single"/>
        </w:rPr>
        <w:t>sold</w:t>
      </w:r>
      <w:r w:rsidRPr="006A7FA5">
        <w:rPr>
          <w:rFonts w:ascii="Arial" w:hAnsi="Arial" w:cs="Arial"/>
          <w:sz w:val="20"/>
          <w:szCs w:val="20"/>
        </w:rPr>
        <w:t xml:space="preserve"> to students on the school campus during the school day* [</w:t>
      </w:r>
      <w:r w:rsidRPr="006A7FA5">
        <w:rPr>
          <w:rFonts w:ascii="Arial" w:hAnsi="Arial" w:cs="Arial"/>
          <w:sz w:val="20"/>
          <w:szCs w:val="20"/>
          <w:highlight w:val="yellow"/>
        </w:rPr>
        <w:t>and</w:t>
      </w:r>
      <w:r w:rsidRPr="006A7FA5">
        <w:rPr>
          <w:rFonts w:ascii="Arial" w:hAnsi="Arial" w:cs="Arial"/>
          <w:i/>
          <w:sz w:val="20"/>
          <w:szCs w:val="20"/>
          <w:highlight w:val="yellow"/>
        </w:rPr>
        <w:t xml:space="preserve"> ideally, the extended school day</w:t>
      </w:r>
      <w:r w:rsidRPr="006A7FA5">
        <w:rPr>
          <w:rFonts w:ascii="Arial" w:hAnsi="Arial" w:cs="Arial"/>
          <w:i/>
          <w:sz w:val="20"/>
          <w:szCs w:val="20"/>
        </w:rPr>
        <w:t>*</w:t>
      </w:r>
      <w:r w:rsidRPr="006A7FA5">
        <w:rPr>
          <w:rFonts w:ascii="Arial" w:hAnsi="Arial" w:cs="Arial"/>
          <w:sz w:val="20"/>
          <w:szCs w:val="20"/>
        </w:rPr>
        <w:t xml:space="preserve">] will meet or exceed the USDA Smart Snacks nutrition standards </w:t>
      </w:r>
      <w:r w:rsidRPr="006A7FA5">
        <w:rPr>
          <w:rFonts w:ascii="Arial" w:hAnsi="Arial" w:cs="Arial"/>
          <w:sz w:val="20"/>
          <w:szCs w:val="20"/>
          <w:highlight w:val="yellow"/>
        </w:rPr>
        <w:t>[</w:t>
      </w:r>
      <w:r w:rsidRPr="006A7FA5">
        <w:rPr>
          <w:rFonts w:ascii="Arial" w:hAnsi="Arial" w:cs="Arial"/>
          <w:i/>
          <w:sz w:val="20"/>
          <w:szCs w:val="20"/>
          <w:highlight w:val="yellow"/>
        </w:rPr>
        <w:t>or, if the state policy is stronger, “will meet or exceed state nutrition standards</w:t>
      </w:r>
      <w:r w:rsidRPr="006A7FA5">
        <w:rPr>
          <w:rFonts w:ascii="Arial" w:hAnsi="Arial" w:cs="Arial"/>
          <w:sz w:val="20"/>
          <w:szCs w:val="20"/>
          <w:highlight w:val="yellow"/>
        </w:rPr>
        <w:t>”]</w:t>
      </w:r>
      <w:r w:rsidRPr="006A7FA5">
        <w:rPr>
          <w:rFonts w:ascii="Arial" w:hAnsi="Arial" w:cs="Arial"/>
          <w:sz w:val="20"/>
          <w:szCs w:val="20"/>
        </w:rPr>
        <w:t xml:space="preserve">. These standards will apply in all locations and through all services where foods and beverages are sold, which may include, but are not limited to, </w:t>
      </w:r>
      <w:r>
        <w:rPr>
          <w:rFonts w:ascii="Arial" w:hAnsi="Arial" w:cs="Arial"/>
          <w:sz w:val="20"/>
          <w:szCs w:val="20"/>
        </w:rPr>
        <w:t>à</w:t>
      </w:r>
      <w:r w:rsidRPr="006A7FA5">
        <w:rPr>
          <w:rFonts w:ascii="Arial" w:hAnsi="Arial" w:cs="Arial"/>
          <w:sz w:val="20"/>
          <w:szCs w:val="20"/>
        </w:rPr>
        <w:t xml:space="preserve"> la carte options in cafeterias, vending machines, school stores and snack or food carts.</w:t>
      </w:r>
    </w:p>
    <w:p w:rsidR="002B6A7D" w:rsidRDefault="002B6A7D" w:rsidP="002B6A7D">
      <w:pPr>
        <w:rPr>
          <w:rFonts w:ascii="Arial" w:hAnsi="Arial" w:cs="Arial"/>
          <w:b/>
          <w:i/>
          <w:sz w:val="20"/>
          <w:szCs w:val="20"/>
        </w:rPr>
      </w:pPr>
    </w:p>
    <w:p w:rsidR="002B6A7D" w:rsidRPr="006A7FA5" w:rsidRDefault="002B6A7D" w:rsidP="002B6A7D">
      <w:pPr>
        <w:rPr>
          <w:rFonts w:ascii="Arial" w:hAnsi="Arial" w:cs="Arial"/>
          <w:b/>
          <w:i/>
          <w:sz w:val="20"/>
          <w:szCs w:val="20"/>
        </w:rPr>
      </w:pPr>
      <w:r w:rsidRPr="006A7FA5">
        <w:rPr>
          <w:rFonts w:ascii="Arial" w:hAnsi="Arial" w:cs="Arial"/>
          <w:b/>
          <w:i/>
          <w:sz w:val="20"/>
          <w:szCs w:val="20"/>
        </w:rPr>
        <w:t>Celebrations and Rewards</w:t>
      </w:r>
    </w:p>
    <w:p w:rsidR="002B6A7D" w:rsidRDefault="002B6A7D" w:rsidP="002B6A7D">
      <w:pPr>
        <w:rPr>
          <w:rFonts w:ascii="Arial" w:hAnsi="Arial" w:cs="Arial"/>
          <w:sz w:val="20"/>
          <w:szCs w:val="20"/>
        </w:rPr>
      </w:pPr>
      <w:r w:rsidRPr="006A7FA5">
        <w:rPr>
          <w:rFonts w:ascii="Arial" w:hAnsi="Arial" w:cs="Arial"/>
          <w:sz w:val="20"/>
          <w:szCs w:val="20"/>
        </w:rPr>
        <w:t xml:space="preserve">All foods </w:t>
      </w:r>
      <w:r w:rsidRPr="006A7FA5">
        <w:rPr>
          <w:rFonts w:ascii="Arial" w:hAnsi="Arial" w:cs="Arial"/>
          <w:sz w:val="20"/>
          <w:szCs w:val="20"/>
          <w:u w:val="single"/>
        </w:rPr>
        <w:t xml:space="preserve">offered </w:t>
      </w:r>
      <w:r w:rsidRPr="006A7FA5">
        <w:rPr>
          <w:rFonts w:ascii="Arial" w:hAnsi="Arial" w:cs="Arial"/>
          <w:sz w:val="20"/>
          <w:szCs w:val="20"/>
        </w:rPr>
        <w:t xml:space="preserve">on the school campus will meet or exceed the USDA Smart Snacks in School nutrition standards </w:t>
      </w:r>
      <w:r w:rsidRPr="006A7FA5">
        <w:rPr>
          <w:rFonts w:ascii="Arial" w:hAnsi="Arial" w:cs="Arial"/>
          <w:sz w:val="20"/>
          <w:szCs w:val="20"/>
          <w:highlight w:val="yellow"/>
        </w:rPr>
        <w:t>[</w:t>
      </w:r>
      <w:r w:rsidRPr="006A7FA5">
        <w:rPr>
          <w:rFonts w:ascii="Arial" w:hAnsi="Arial" w:cs="Arial"/>
          <w:i/>
          <w:sz w:val="20"/>
          <w:szCs w:val="20"/>
          <w:highlight w:val="yellow"/>
        </w:rPr>
        <w:t>or, if the state policy is stronger, “will meet or exceed state nutrition standards</w:t>
      </w:r>
      <w:r w:rsidRPr="006A7FA5">
        <w:rPr>
          <w:rFonts w:ascii="Arial" w:hAnsi="Arial" w:cs="Arial"/>
          <w:sz w:val="20"/>
          <w:szCs w:val="20"/>
          <w:highlight w:val="yellow"/>
        </w:rPr>
        <w:t xml:space="preserve">”], </w:t>
      </w:r>
      <w:r w:rsidRPr="006A7FA5">
        <w:rPr>
          <w:rFonts w:ascii="Arial" w:hAnsi="Arial" w:cs="Arial"/>
          <w:sz w:val="20"/>
          <w:szCs w:val="20"/>
        </w:rPr>
        <w:t xml:space="preserve">including through: </w:t>
      </w:r>
    </w:p>
    <w:p w:rsidR="002B6A7D" w:rsidRDefault="002B6A7D" w:rsidP="002B6A7D">
      <w:pPr>
        <w:pStyle w:val="ListParagraph"/>
        <w:numPr>
          <w:ilvl w:val="0"/>
          <w:numId w:val="2"/>
        </w:numPr>
        <w:rPr>
          <w:rFonts w:ascii="Arial" w:hAnsi="Arial" w:cs="Arial"/>
          <w:sz w:val="20"/>
          <w:szCs w:val="20"/>
        </w:rPr>
      </w:pPr>
      <w:r w:rsidRPr="006A7FA5">
        <w:rPr>
          <w:rFonts w:ascii="Arial" w:hAnsi="Arial" w:cs="Arial"/>
          <w:sz w:val="20"/>
          <w:szCs w:val="20"/>
        </w:rPr>
        <w:t xml:space="preserve">Celebrations and parties. The district will provide a list of healthy party ideas to parents and teachers, including non-food celebration ideas. Healthy party ideas </w:t>
      </w:r>
      <w:r>
        <w:rPr>
          <w:rFonts w:ascii="Arial" w:hAnsi="Arial" w:cs="Arial"/>
          <w:sz w:val="20"/>
          <w:szCs w:val="20"/>
        </w:rPr>
        <w:t xml:space="preserve">are available </w:t>
      </w:r>
      <w:r w:rsidRPr="006A7FA5">
        <w:rPr>
          <w:rFonts w:ascii="Arial" w:hAnsi="Arial" w:cs="Arial"/>
          <w:sz w:val="20"/>
          <w:szCs w:val="20"/>
        </w:rPr>
        <w:t xml:space="preserve">from the </w:t>
      </w:r>
      <w:hyperlink r:id="rId7" w:history="1">
        <w:r w:rsidRPr="006A7FA5">
          <w:rPr>
            <w:rStyle w:val="Hyperlink"/>
            <w:rFonts w:ascii="Arial" w:hAnsi="Arial" w:cs="Arial"/>
            <w:sz w:val="20"/>
            <w:szCs w:val="20"/>
          </w:rPr>
          <w:t>Alliance for a Healthier Generation</w:t>
        </w:r>
      </w:hyperlink>
      <w:r w:rsidRPr="006A7FA5">
        <w:rPr>
          <w:rFonts w:ascii="Arial" w:hAnsi="Arial" w:cs="Arial"/>
          <w:sz w:val="20"/>
          <w:szCs w:val="20"/>
        </w:rPr>
        <w:t xml:space="preserve"> and from the </w:t>
      </w:r>
      <w:hyperlink r:id="rId8" w:history="1">
        <w:r w:rsidRPr="006A7FA5">
          <w:rPr>
            <w:rStyle w:val="Hyperlink"/>
            <w:rFonts w:ascii="Arial" w:hAnsi="Arial" w:cs="Arial"/>
            <w:sz w:val="20"/>
            <w:szCs w:val="20"/>
          </w:rPr>
          <w:t>USDA</w:t>
        </w:r>
      </w:hyperlink>
      <w:r w:rsidRPr="006A7FA5">
        <w:rPr>
          <w:rFonts w:ascii="Arial" w:hAnsi="Arial" w:cs="Arial"/>
          <w:sz w:val="20"/>
          <w:szCs w:val="20"/>
        </w:rPr>
        <w:t xml:space="preserve">. </w:t>
      </w:r>
      <w:r>
        <w:rPr>
          <w:rFonts w:ascii="Arial" w:hAnsi="Arial" w:cs="Arial"/>
          <w:sz w:val="20"/>
          <w:szCs w:val="20"/>
        </w:rPr>
        <w:t xml:space="preserve"> </w:t>
      </w:r>
    </w:p>
    <w:p w:rsidR="002B6A7D" w:rsidRDefault="002B6A7D" w:rsidP="002B6A7D">
      <w:pPr>
        <w:pStyle w:val="ListParagraph"/>
        <w:numPr>
          <w:ilvl w:val="0"/>
          <w:numId w:val="2"/>
        </w:numPr>
        <w:rPr>
          <w:rFonts w:ascii="Arial" w:hAnsi="Arial" w:cs="Arial"/>
          <w:sz w:val="20"/>
          <w:szCs w:val="20"/>
        </w:rPr>
      </w:pPr>
      <w:r w:rsidRPr="006A7FA5">
        <w:rPr>
          <w:rFonts w:ascii="Arial" w:hAnsi="Arial" w:cs="Arial"/>
          <w:sz w:val="20"/>
          <w:szCs w:val="20"/>
        </w:rPr>
        <w:t xml:space="preserve">Classroom snacks brought by parents. The District will provide to parents a </w:t>
      </w:r>
      <w:hyperlink r:id="rId9" w:history="1">
        <w:r w:rsidRPr="006A7FA5">
          <w:rPr>
            <w:rStyle w:val="Hyperlink"/>
            <w:rFonts w:ascii="Arial" w:hAnsi="Arial" w:cs="Arial"/>
            <w:sz w:val="20"/>
            <w:szCs w:val="20"/>
          </w:rPr>
          <w:t>list of foods and beverages that meet Smart Snacks</w:t>
        </w:r>
      </w:hyperlink>
      <w:r w:rsidRPr="006A7FA5">
        <w:rPr>
          <w:rFonts w:ascii="Arial" w:hAnsi="Arial" w:cs="Arial"/>
          <w:sz w:val="20"/>
          <w:szCs w:val="20"/>
        </w:rPr>
        <w:t xml:space="preserve"> nutrition standards</w:t>
      </w:r>
      <w:r>
        <w:rPr>
          <w:rFonts w:ascii="Arial" w:hAnsi="Arial" w:cs="Arial"/>
          <w:sz w:val="20"/>
          <w:szCs w:val="20"/>
        </w:rPr>
        <w:t>.</w:t>
      </w:r>
      <w:r w:rsidRPr="006A7FA5">
        <w:rPr>
          <w:rFonts w:ascii="Arial" w:hAnsi="Arial" w:cs="Arial"/>
          <w:sz w:val="20"/>
          <w:szCs w:val="20"/>
        </w:rPr>
        <w:t xml:space="preserve"> </w:t>
      </w:r>
    </w:p>
    <w:p w:rsidR="002B6A7D" w:rsidRPr="006A7FA5" w:rsidRDefault="002B6A7D" w:rsidP="002B6A7D">
      <w:pPr>
        <w:pStyle w:val="ListParagraph"/>
        <w:numPr>
          <w:ilvl w:val="0"/>
          <w:numId w:val="2"/>
        </w:numPr>
        <w:rPr>
          <w:rFonts w:ascii="Arial" w:hAnsi="Arial" w:cs="Arial"/>
          <w:sz w:val="20"/>
          <w:szCs w:val="20"/>
        </w:rPr>
      </w:pPr>
      <w:r w:rsidRPr="006A7FA5">
        <w:rPr>
          <w:rFonts w:ascii="Arial" w:hAnsi="Arial" w:cs="Arial"/>
          <w:sz w:val="20"/>
          <w:szCs w:val="20"/>
        </w:rPr>
        <w:t xml:space="preserve">Rewards and incentives. The District will provide teachers and other relevant school staff a </w:t>
      </w:r>
      <w:hyperlink r:id="rId10" w:history="1">
        <w:r w:rsidRPr="006A7FA5">
          <w:rPr>
            <w:rStyle w:val="Hyperlink"/>
            <w:rFonts w:ascii="Arial" w:hAnsi="Arial" w:cs="Arial"/>
            <w:sz w:val="20"/>
            <w:szCs w:val="20"/>
          </w:rPr>
          <w:t>list of alternative ways to reward children</w:t>
        </w:r>
      </w:hyperlink>
      <w:r w:rsidRPr="006A7FA5">
        <w:rPr>
          <w:rFonts w:ascii="Arial" w:hAnsi="Arial" w:cs="Arial"/>
          <w:sz w:val="20"/>
          <w:szCs w:val="20"/>
        </w:rPr>
        <w:t xml:space="preserve">. Foods and beverages will not be used as a reward, or withheld as punishment for any reason, such as for performance or behavior. </w:t>
      </w:r>
      <w:r w:rsidRPr="006A7FA5">
        <w:rPr>
          <w:rFonts w:ascii="Arial" w:hAnsi="Arial" w:cs="Arial"/>
          <w:sz w:val="20"/>
          <w:szCs w:val="20"/>
        </w:rPr>
        <w:br/>
      </w:r>
      <w:r w:rsidRPr="006A7FA5">
        <w:rPr>
          <w:rFonts w:ascii="Arial" w:hAnsi="Arial" w:cs="Arial"/>
          <w:i/>
          <w:sz w:val="20"/>
          <w:szCs w:val="20"/>
        </w:rPr>
        <w:t>[Meets H</w:t>
      </w:r>
      <w:r>
        <w:rPr>
          <w:rFonts w:ascii="Arial" w:hAnsi="Arial" w:cs="Arial"/>
          <w:i/>
          <w:sz w:val="20"/>
          <w:szCs w:val="20"/>
        </w:rPr>
        <w:t>ealthy Schools Program</w:t>
      </w:r>
      <w:r w:rsidRPr="006A7FA5">
        <w:rPr>
          <w:rFonts w:ascii="Arial" w:hAnsi="Arial" w:cs="Arial"/>
          <w:i/>
          <w:sz w:val="20"/>
          <w:szCs w:val="20"/>
        </w:rPr>
        <w:t xml:space="preserve"> Silver</w:t>
      </w:r>
      <w:r>
        <w:rPr>
          <w:rFonts w:ascii="Arial" w:hAnsi="Arial" w:cs="Arial"/>
          <w:i/>
          <w:sz w:val="20"/>
          <w:szCs w:val="20"/>
        </w:rPr>
        <w:t>-level criteria</w:t>
      </w:r>
      <w:r w:rsidRPr="006A7FA5">
        <w:rPr>
          <w:rFonts w:ascii="Arial" w:hAnsi="Arial" w:cs="Arial"/>
          <w:i/>
          <w:sz w:val="20"/>
          <w:szCs w:val="20"/>
        </w:rPr>
        <w:t>]</w:t>
      </w:r>
    </w:p>
    <w:p w:rsidR="002B6A7D" w:rsidRPr="006A7FA5" w:rsidRDefault="002B6A7D" w:rsidP="002B6A7D">
      <w:pPr>
        <w:rPr>
          <w:rFonts w:ascii="Arial" w:hAnsi="Arial" w:cs="Arial"/>
          <w:b/>
          <w:i/>
          <w:sz w:val="20"/>
          <w:szCs w:val="20"/>
        </w:rPr>
      </w:pPr>
      <w:r w:rsidRPr="006A7FA5">
        <w:rPr>
          <w:rFonts w:ascii="Arial" w:hAnsi="Arial" w:cs="Arial"/>
          <w:b/>
          <w:i/>
          <w:sz w:val="20"/>
          <w:szCs w:val="20"/>
        </w:rPr>
        <w:t>Fundraising</w:t>
      </w:r>
    </w:p>
    <w:p w:rsidR="002B6A7D" w:rsidRPr="006A7FA5" w:rsidRDefault="002B6A7D" w:rsidP="002B6A7D">
      <w:pPr>
        <w:rPr>
          <w:rFonts w:ascii="Arial" w:hAnsi="Arial" w:cs="Arial"/>
          <w:sz w:val="20"/>
          <w:szCs w:val="20"/>
        </w:rPr>
      </w:pPr>
      <w:r w:rsidRPr="006A7FA5">
        <w:rPr>
          <w:rFonts w:ascii="Arial" w:hAnsi="Arial" w:cs="Arial"/>
          <w:sz w:val="20"/>
          <w:szCs w:val="20"/>
        </w:rPr>
        <w:t>Foods and beverages that meet or exceed the USDA Smart Snacks in Schools nutrition standards may be sold through fundraisers on the school campus* during the school day*. The District will make available to parents and teachers a list of healthy fundraising ideas [</w:t>
      </w:r>
      <w:r w:rsidRPr="006A7FA5">
        <w:rPr>
          <w:rFonts w:ascii="Arial" w:hAnsi="Arial" w:cs="Arial"/>
          <w:i/>
          <w:sz w:val="20"/>
          <w:szCs w:val="20"/>
        </w:rPr>
        <w:t xml:space="preserve">examples from the </w:t>
      </w:r>
      <w:hyperlink r:id="rId11" w:history="1">
        <w:r w:rsidRPr="006A7FA5">
          <w:rPr>
            <w:rStyle w:val="Hyperlink"/>
            <w:rFonts w:ascii="Arial" w:hAnsi="Arial" w:cs="Arial"/>
            <w:i/>
            <w:sz w:val="20"/>
            <w:szCs w:val="20"/>
          </w:rPr>
          <w:t>Alliance for a Healthier Generation</w:t>
        </w:r>
      </w:hyperlink>
      <w:r w:rsidRPr="006A7FA5">
        <w:rPr>
          <w:rFonts w:ascii="Arial" w:hAnsi="Arial" w:cs="Arial"/>
          <w:i/>
          <w:sz w:val="20"/>
          <w:szCs w:val="20"/>
        </w:rPr>
        <w:t xml:space="preserve"> and the </w:t>
      </w:r>
      <w:hyperlink r:id="rId12" w:history="1">
        <w:r w:rsidRPr="006A7FA5">
          <w:rPr>
            <w:rStyle w:val="Hyperlink"/>
            <w:rFonts w:ascii="Arial" w:hAnsi="Arial" w:cs="Arial"/>
            <w:i/>
            <w:sz w:val="20"/>
            <w:szCs w:val="20"/>
          </w:rPr>
          <w:t>USDA</w:t>
        </w:r>
      </w:hyperlink>
      <w:r w:rsidRPr="006A7FA5">
        <w:rPr>
          <w:rFonts w:ascii="Arial" w:hAnsi="Arial" w:cs="Arial"/>
          <w:sz w:val="20"/>
          <w:szCs w:val="20"/>
        </w:rPr>
        <w:t>].</w:t>
      </w:r>
    </w:p>
    <w:p w:rsidR="002B6A7D" w:rsidRPr="006A7FA5" w:rsidRDefault="002B6A7D" w:rsidP="002B6A7D">
      <w:pPr>
        <w:rPr>
          <w:rFonts w:ascii="Arial" w:hAnsi="Arial" w:cs="Arial"/>
          <w:i/>
          <w:sz w:val="20"/>
          <w:szCs w:val="20"/>
        </w:rPr>
      </w:pPr>
      <w:r w:rsidRPr="006A7FA5">
        <w:rPr>
          <w:rFonts w:ascii="Arial" w:hAnsi="Arial" w:cs="Arial"/>
          <w:i/>
          <w:sz w:val="20"/>
          <w:szCs w:val="20"/>
        </w:rPr>
        <w:t xml:space="preserve"> [Given the pervasiveness of food fundraisers in many schools and the wide availability of profitable, healthy fundraising options, additional policy language is encouraged:</w:t>
      </w:r>
    </w:p>
    <w:p w:rsidR="002B6A7D" w:rsidRPr="006A7FA5" w:rsidRDefault="002B6A7D" w:rsidP="002B6A7D">
      <w:pPr>
        <w:pStyle w:val="ListParagraph"/>
        <w:numPr>
          <w:ilvl w:val="0"/>
          <w:numId w:val="1"/>
        </w:numPr>
        <w:rPr>
          <w:rFonts w:ascii="Arial" w:hAnsi="Arial" w:cs="Arial"/>
          <w:i/>
          <w:sz w:val="20"/>
          <w:szCs w:val="20"/>
        </w:rPr>
      </w:pPr>
      <w:r w:rsidRPr="006A7FA5">
        <w:rPr>
          <w:rFonts w:ascii="Arial" w:hAnsi="Arial" w:cs="Arial"/>
          <w:i/>
          <w:sz w:val="20"/>
          <w:szCs w:val="20"/>
        </w:rPr>
        <w:t xml:space="preserve">Schools will use only non-food fundraisers, and encourage those promoting physical activity (such as walk-a-thons, </w:t>
      </w:r>
      <w:r>
        <w:rPr>
          <w:rFonts w:ascii="Arial" w:hAnsi="Arial" w:cs="Arial"/>
          <w:i/>
          <w:sz w:val="20"/>
          <w:szCs w:val="20"/>
        </w:rPr>
        <w:t>J</w:t>
      </w:r>
      <w:r w:rsidRPr="006A7FA5">
        <w:rPr>
          <w:rFonts w:ascii="Arial" w:hAnsi="Arial" w:cs="Arial"/>
          <w:i/>
          <w:sz w:val="20"/>
          <w:szCs w:val="20"/>
        </w:rPr>
        <w:t xml:space="preserve">ump </w:t>
      </w:r>
      <w:r>
        <w:rPr>
          <w:rFonts w:ascii="Arial" w:hAnsi="Arial" w:cs="Arial"/>
          <w:i/>
          <w:sz w:val="20"/>
          <w:szCs w:val="20"/>
        </w:rPr>
        <w:t>R</w:t>
      </w:r>
      <w:r w:rsidRPr="006A7FA5">
        <w:rPr>
          <w:rFonts w:ascii="Arial" w:hAnsi="Arial" w:cs="Arial"/>
          <w:i/>
          <w:sz w:val="20"/>
          <w:szCs w:val="20"/>
        </w:rPr>
        <w:t xml:space="preserve">ope for </w:t>
      </w:r>
      <w:r>
        <w:rPr>
          <w:rFonts w:ascii="Arial" w:hAnsi="Arial" w:cs="Arial"/>
          <w:i/>
          <w:sz w:val="20"/>
          <w:szCs w:val="20"/>
        </w:rPr>
        <w:t>H</w:t>
      </w:r>
      <w:r w:rsidRPr="006A7FA5">
        <w:rPr>
          <w:rFonts w:ascii="Arial" w:hAnsi="Arial" w:cs="Arial"/>
          <w:i/>
          <w:sz w:val="20"/>
          <w:szCs w:val="20"/>
        </w:rPr>
        <w:t xml:space="preserve">eart, fun runs, etc.). </w:t>
      </w:r>
    </w:p>
    <w:p w:rsidR="002B6A7D" w:rsidRDefault="002B6A7D" w:rsidP="002B6A7D">
      <w:pPr>
        <w:autoSpaceDE w:val="0"/>
        <w:autoSpaceDN w:val="0"/>
        <w:adjustRightInd w:val="0"/>
        <w:rPr>
          <w:rFonts w:ascii="CIDFont+F1" w:hAnsi="CIDFont+F1" w:cs="CIDFont+F1"/>
          <w:color w:val="000000"/>
          <w:sz w:val="24"/>
          <w:szCs w:val="24"/>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non-food items or foods and beverages that meet or exceed the Smart Snacks nutrition standards. Th</w:t>
      </w:r>
      <w:r>
        <w:rPr>
          <w:rFonts w:ascii="Arial" w:hAnsi="Arial" w:cs="Arial"/>
          <w:i/>
          <w:sz w:val="20"/>
          <w:szCs w:val="20"/>
        </w:rPr>
        <w:t>ese fundraisers</w:t>
      </w:r>
      <w:r w:rsidRPr="006A7FA5">
        <w:rPr>
          <w:rFonts w:ascii="Arial" w:hAnsi="Arial" w:cs="Arial"/>
          <w:i/>
          <w:sz w:val="20"/>
          <w:szCs w:val="20"/>
        </w:rPr>
        <w:t xml:space="preserve"> may include but </w:t>
      </w:r>
      <w:r>
        <w:rPr>
          <w:rFonts w:ascii="Arial" w:hAnsi="Arial" w:cs="Arial"/>
          <w:i/>
          <w:sz w:val="20"/>
          <w:szCs w:val="20"/>
        </w:rPr>
        <w:t>are</w:t>
      </w:r>
      <w:r w:rsidRPr="006A7FA5">
        <w:rPr>
          <w:rFonts w:ascii="Arial" w:hAnsi="Arial" w:cs="Arial"/>
          <w:i/>
          <w:sz w:val="20"/>
          <w:szCs w:val="20"/>
        </w:rPr>
        <w:t xml:space="preserve"> not limited to, donation nights at restaurants, cookie dough, candy and pizza sales, market days, etc. (Meets H</w:t>
      </w:r>
      <w:r>
        <w:rPr>
          <w:rFonts w:ascii="Arial" w:hAnsi="Arial" w:cs="Arial"/>
          <w:i/>
          <w:sz w:val="20"/>
          <w:szCs w:val="20"/>
        </w:rPr>
        <w:t xml:space="preserve">ealthy </w:t>
      </w:r>
      <w:r w:rsidRPr="006A7FA5">
        <w:rPr>
          <w:rFonts w:ascii="Arial" w:hAnsi="Arial" w:cs="Arial"/>
          <w:i/>
          <w:sz w:val="20"/>
          <w:szCs w:val="20"/>
        </w:rPr>
        <w:t>S</w:t>
      </w:r>
      <w:r>
        <w:rPr>
          <w:rFonts w:ascii="Arial" w:hAnsi="Arial" w:cs="Arial"/>
          <w:i/>
          <w:sz w:val="20"/>
          <w:szCs w:val="20"/>
        </w:rPr>
        <w:t xml:space="preserve">chools </w:t>
      </w:r>
      <w:r w:rsidRPr="006A7FA5">
        <w:rPr>
          <w:rFonts w:ascii="Arial" w:hAnsi="Arial" w:cs="Arial"/>
          <w:i/>
          <w:sz w:val="20"/>
          <w:szCs w:val="20"/>
        </w:rPr>
        <w:t>P</w:t>
      </w:r>
      <w:r>
        <w:rPr>
          <w:rFonts w:ascii="Arial" w:hAnsi="Arial" w:cs="Arial"/>
          <w:i/>
          <w:sz w:val="20"/>
          <w:szCs w:val="20"/>
        </w:rPr>
        <w:t>rogram</w:t>
      </w:r>
      <w:r w:rsidRPr="006A7FA5">
        <w:rPr>
          <w:rFonts w:ascii="Arial" w:hAnsi="Arial" w:cs="Arial"/>
          <w:i/>
          <w:sz w:val="20"/>
          <w:szCs w:val="20"/>
        </w:rPr>
        <w:t xml:space="preserve"> Gold</w:t>
      </w:r>
      <w:r>
        <w:rPr>
          <w:rFonts w:ascii="Arial" w:hAnsi="Arial" w:cs="Arial"/>
          <w:i/>
          <w:sz w:val="20"/>
          <w:szCs w:val="20"/>
        </w:rPr>
        <w:t>-level criteria</w:t>
      </w:r>
      <w:r w:rsidRPr="006A7FA5">
        <w:rPr>
          <w:rFonts w:ascii="Arial" w:hAnsi="Arial" w:cs="Arial"/>
          <w:i/>
          <w:sz w:val="20"/>
          <w:szCs w:val="20"/>
        </w:rPr>
        <w:t>)]</w:t>
      </w:r>
    </w:p>
    <w:sectPr w:rsidR="002B6A7D" w:rsidSect="008135B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7D"/>
    <w:rsid w:val="002B6A7D"/>
    <w:rsid w:val="00413CDA"/>
    <w:rsid w:val="008135B4"/>
    <w:rsid w:val="00C17D81"/>
    <w:rsid w:val="00FC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8684-F26A-4AE3-8E01-FE64A829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A7D"/>
    <w:pPr>
      <w:tabs>
        <w:tab w:val="center" w:pos="4680"/>
        <w:tab w:val="right" w:pos="9360"/>
      </w:tabs>
    </w:pPr>
    <w:rPr>
      <w:rFonts w:ascii="Cambria" w:eastAsia="Cambria" w:hAnsi="Cambria" w:cs="Times New Roman"/>
    </w:rPr>
  </w:style>
  <w:style w:type="character" w:customStyle="1" w:styleId="HeaderChar">
    <w:name w:val="Header Char"/>
    <w:basedOn w:val="DefaultParagraphFont"/>
    <w:link w:val="Header"/>
    <w:uiPriority w:val="99"/>
    <w:rsid w:val="002B6A7D"/>
    <w:rPr>
      <w:rFonts w:ascii="Cambria" w:eastAsia="Cambria" w:hAnsi="Cambria" w:cs="Times New Roman"/>
    </w:rPr>
  </w:style>
  <w:style w:type="paragraph" w:styleId="ListParagraph">
    <w:name w:val="List Paragraph"/>
    <w:basedOn w:val="Normal"/>
    <w:uiPriority w:val="34"/>
    <w:qFormat/>
    <w:rsid w:val="002B6A7D"/>
    <w:pPr>
      <w:spacing w:after="200" w:line="276" w:lineRule="auto"/>
      <w:ind w:left="720"/>
      <w:contextualSpacing/>
    </w:pPr>
    <w:rPr>
      <w:rFonts w:ascii="Cambria" w:eastAsia="Cambria" w:hAnsi="Cambria" w:cs="Times New Roman"/>
    </w:rPr>
  </w:style>
  <w:style w:type="character" w:styleId="Hyperlink">
    <w:name w:val="Hyperlink"/>
    <w:uiPriority w:val="99"/>
    <w:unhideWhenUsed/>
    <w:rsid w:val="002B6A7D"/>
    <w:rPr>
      <w:color w:val="0000FF"/>
      <w:u w:val="single"/>
    </w:rPr>
  </w:style>
  <w:style w:type="table" w:styleId="TableGrid">
    <w:name w:val="Table Grid"/>
    <w:basedOn w:val="TableNormal"/>
    <w:uiPriority w:val="39"/>
    <w:rsid w:val="0081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meals.nal.usda.gov/local-wellness-policy-resources/wellness-policy-elements/healthy-celebr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iergeneration.org/take_action/schools/snacks_and_beverages/celebrations/" TargetMode="External"/><Relationship Id="rId12" Type="http://schemas.openxmlformats.org/officeDocument/2006/relationships/hyperlink" Target="http://healthymeals.nal.usda.gov/local-wellness-policy-resources/wellness-policy-elements/healthy-fundra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planner.healthiergeneration.org" TargetMode="External"/><Relationship Id="rId11" Type="http://schemas.openxmlformats.org/officeDocument/2006/relationships/hyperlink" Target="https://www.healthiergeneration.org/take_action/schools/snacks_and_beverages/fundraisers/" TargetMode="External"/><Relationship Id="rId5" Type="http://schemas.openxmlformats.org/officeDocument/2006/relationships/hyperlink" Target="http://www.fns.usda.gov/healthierschoolday/tools-schools-smart-snacks" TargetMode="External"/><Relationship Id="rId10" Type="http://schemas.openxmlformats.org/officeDocument/2006/relationships/hyperlink" Target="https://www.healthiergeneration.org/take_action/schools/snacks_and_beverages/non-food_rewards/" TargetMode="External"/><Relationship Id="rId4" Type="http://schemas.openxmlformats.org/officeDocument/2006/relationships/webSettings" Target="webSettings.xml"/><Relationship Id="rId9" Type="http://schemas.openxmlformats.org/officeDocument/2006/relationships/hyperlink" Target="https://www.healthiergeneration.org/live_healthier/eat_healthier/alliance_product_navigator/browse_products/?product_category_id=7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Reed</dc:creator>
  <cp:keywords/>
  <dc:description/>
  <cp:lastModifiedBy>Heather Reed</cp:lastModifiedBy>
  <cp:revision>3</cp:revision>
  <dcterms:created xsi:type="dcterms:W3CDTF">2019-10-18T23:42:00Z</dcterms:created>
  <dcterms:modified xsi:type="dcterms:W3CDTF">2019-10-19T00:28:00Z</dcterms:modified>
</cp:coreProperties>
</file>